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педагогического исследования</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«Методология и методы педагогического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педагогического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 знать общенаучные и специальные принципы и методы познания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ПК-10.2 знать принципы междисциплинарного синтеза в исследовательской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знать требования профессионального стандарта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ПК-10.4 уметь аргументированно формировать собственное суждение и оценку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ПК-10.5 уметь соотносить требования профессионального стандарта и собственные профессиональные и личностные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ПК-10.6 уметь определять стратегии своего профессионального и личностного саморазвития, составлять программу саморазвития и самокоррекции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ПК-10.7 владеть навыками определения практических последствий предложенного решения задачи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ПК-10.8 владеть культурой публичного выступления, обладать толерантным отношением к иным точкам зрения, готовностью к конструктивному диалогу и активному взаимодействию при решении учебно-познавательных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 способностью нести ответственность за достигнутые результаты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ПК-10.10 владеть приёмами критического и самостоятельного мышления, общенаучными методиками исследовательской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ПК-10.11 владеть навыками рефлексии профессиональной деятельности и личностного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тенденции развития современной науки и образования и перспективные направления развития исследований в иностранного языка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теоретический и практический инструментарий для достижения поставленных целей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проектировать  целевой компонент исследования в предметных областях и в области начального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оценивать качество собственного исследования и при необходимости проводить коррекцию исследования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самостоятельно проводить  исследование в предметной области и в области начального образования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особенности проектного мышления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основные этапы проектирования, их последовательность и взаимосвязь</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выделять в поставленной цели основные смысловые и структурные компоненты</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формулировать задачи на основе этапов получения промежуточных результатов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определять совокупность необходимых ресурсов для реализации каждой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уметь  оценивать уровень и качество каждого ресурса, обеспечивающего выполнение определенной задачи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УК-2.13 владеть способами решения конкретных задач проекта на уровне заявленного качества и за установленное время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УК-2.14 владеть навыками публичного представления результатов решения конкретной задачи проекта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«Методология и методы педагогического исследования»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начальной школе</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ПК-10, ПК-11, УК-2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33.25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w:t>
            </w:r>
          </w:p>
          <w:p>
            <w:pPr>
              <w:jc w:val="both"/>
              <w:spacing w:after="0" w:line="240" w:lineRule="auto"/>
              <w:rPr>
                <w:sz w:val="24"/>
                <w:szCs w:val="24"/>
              </w:rPr>
            </w:pPr>
            <w:r>
              <w:rPr>
                <w:rFonts w:ascii="Times New Roman" w:hAnsi="Times New Roman" w:cs="Times New Roman"/>
                <w:color w:val="#000000"/>
                <w:sz w:val="24"/>
                <w:szCs w:val="24"/>
              </w:rPr>
              <w:t>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pPr>
              <w:jc w:val="both"/>
              <w:spacing w:after="0" w:line="240" w:lineRule="auto"/>
              <w:rPr>
                <w:sz w:val="24"/>
                <w:szCs w:val="24"/>
              </w:rPr>
            </w:pPr>
            <w:r>
              <w:rPr>
                <w:rFonts w:ascii="Times New Roman" w:hAnsi="Times New Roman" w:cs="Times New Roman"/>
                <w:color w:val="#000000"/>
                <w:sz w:val="24"/>
                <w:szCs w:val="24"/>
              </w:rPr>
              <w:t> 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начальном общем образовании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методы педагогического исследования</w:t>
            </w:r>
          </w:p>
        </w:tc>
      </w:tr>
      <w:tr>
        <w:trPr>
          <w:trHeight w:hRule="exact" w:val="728.0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педагогического исследования». Теоретические методы педагогического исследования. Анализ. Синтез. Обобщение. Абстрагирование.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Систематизация. Моделирование. Педагогическое проектирование.</w:t>
            </w:r>
          </w:p>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педагогического исследования. Разнообразие эмпирических методов.</w:t>
            </w:r>
          </w:p>
          <w:p>
            <w:pPr>
              <w:jc w:val="both"/>
              <w:spacing w:after="0" w:line="240" w:lineRule="auto"/>
              <w:rPr>
                <w:sz w:val="24"/>
                <w:szCs w:val="24"/>
              </w:rPr>
            </w:pPr>
            <w:r>
              <w:rPr>
                <w:rFonts w:ascii="Times New Roman" w:hAnsi="Times New Roman" w:cs="Times New Roman"/>
                <w:color w:val="#000000"/>
                <w:sz w:val="24"/>
                <w:szCs w:val="24"/>
              </w:rPr>
              <w:t>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pPr>
              <w:jc w:val="both"/>
              <w:spacing w:after="0" w:line="240" w:lineRule="auto"/>
              <w:rPr>
                <w:sz w:val="24"/>
                <w:szCs w:val="24"/>
              </w:rPr>
            </w:pPr>
            <w:r>
              <w:rPr>
                <w:rFonts w:ascii="Times New Roman" w:hAnsi="Times New Roman" w:cs="Times New Roman"/>
                <w:color w:val="#000000"/>
                <w:sz w:val="24"/>
                <w:szCs w:val="24"/>
              </w:rPr>
              <w:t> Опросные методы. Письменный опрос. Устный опрос.</w:t>
            </w:r>
          </w:p>
          <w:p>
            <w:pPr>
              <w:jc w:val="both"/>
              <w:spacing w:after="0" w:line="240" w:lineRule="auto"/>
              <w:rPr>
                <w:sz w:val="24"/>
                <w:szCs w:val="24"/>
              </w:rPr>
            </w:pPr>
            <w:r>
              <w:rPr>
                <w:rFonts w:ascii="Times New Roman" w:hAnsi="Times New Roman" w:cs="Times New Roman"/>
                <w:color w:val="#000000"/>
                <w:sz w:val="24"/>
                <w:szCs w:val="24"/>
              </w:rPr>
              <w:t> Педагогическое наблюдение. Педагогическое тестирование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w:t>
            </w:r>
          </w:p>
          <w:p>
            <w:pPr>
              <w:jc w:val="both"/>
              <w:spacing w:after="0" w:line="240" w:lineRule="auto"/>
              <w:rPr>
                <w:sz w:val="24"/>
                <w:szCs w:val="24"/>
              </w:rPr>
            </w:pPr>
            <w:r>
              <w:rPr>
                <w:rFonts w:ascii="Times New Roman" w:hAnsi="Times New Roman" w:cs="Times New Roman"/>
                <w:color w:val="#000000"/>
                <w:sz w:val="24"/>
                <w:szCs w:val="24"/>
              </w:rPr>
              <w:t>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pPr>
              <w:jc w:val="both"/>
              <w:spacing w:after="0" w:line="240" w:lineRule="auto"/>
              <w:rPr>
                <w:sz w:val="24"/>
                <w:szCs w:val="24"/>
              </w:rPr>
            </w:pPr>
            <w:r>
              <w:rPr>
                <w:rFonts w:ascii="Times New Roman" w:hAnsi="Times New Roman" w:cs="Times New Roman"/>
                <w:color w:val="#000000"/>
                <w:sz w:val="24"/>
                <w:szCs w:val="24"/>
              </w:rPr>
              <w:t> Подходы к определению объекта и предмета исследования. Постановка цели и задач исследования.</w:t>
            </w:r>
          </w:p>
          <w:p>
            <w:pPr>
              <w:jc w:val="both"/>
              <w:spacing w:after="0" w:line="240" w:lineRule="auto"/>
              <w:rPr>
                <w:sz w:val="24"/>
                <w:szCs w:val="24"/>
              </w:rPr>
            </w:pPr>
            <w:r>
              <w:rPr>
                <w:rFonts w:ascii="Times New Roman" w:hAnsi="Times New Roman" w:cs="Times New Roman"/>
                <w:color w:val="#000000"/>
                <w:sz w:val="24"/>
                <w:szCs w:val="24"/>
              </w:rPr>
              <w:t> Понятие гипотезы исследования. Подходы к определению гипотезы исследования.</w:t>
            </w:r>
          </w:p>
          <w:p>
            <w:pPr>
              <w:jc w:val="both"/>
              <w:spacing w:after="0" w:line="240" w:lineRule="auto"/>
              <w:rPr>
                <w:sz w:val="24"/>
                <w:szCs w:val="24"/>
              </w:rPr>
            </w:pPr>
            <w:r>
              <w:rPr>
                <w:rFonts w:ascii="Times New Roman" w:hAnsi="Times New Roman" w:cs="Times New Roman"/>
                <w:color w:val="#000000"/>
                <w:sz w:val="24"/>
                <w:szCs w:val="24"/>
              </w:rPr>
              <w:t> Подходы к характеристике практической значимости. Обоснование методов и процедуры исследования.</w:t>
            </w:r>
          </w:p>
          <w:p>
            <w:pPr>
              <w:jc w:val="both"/>
              <w:spacing w:after="0" w:line="240" w:lineRule="auto"/>
              <w:rPr>
                <w:sz w:val="24"/>
                <w:szCs w:val="24"/>
              </w:rPr>
            </w:pPr>
            <w:r>
              <w:rPr>
                <w:rFonts w:ascii="Times New Roman" w:hAnsi="Times New Roman" w:cs="Times New Roman"/>
                <w:color w:val="#000000"/>
                <w:sz w:val="24"/>
                <w:szCs w:val="24"/>
              </w:rPr>
              <w:t> Определение этапов исследования. Разработка критериев. Выявление результативности экспериментальной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эмпирического исследования в образовательной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pPr>
              <w:jc w:val="both"/>
              <w:spacing w:after="0" w:line="240" w:lineRule="auto"/>
              <w:rPr>
                <w:sz w:val="24"/>
                <w:szCs w:val="24"/>
              </w:rPr>
            </w:pPr>
            <w:r>
              <w:rPr>
                <w:rFonts w:ascii="Times New Roman" w:hAnsi="Times New Roman" w:cs="Times New Roman"/>
                <w:color w:val="#000000"/>
                <w:sz w:val="24"/>
                <w:szCs w:val="24"/>
              </w:rPr>
              <w:t> Выбор методов теоретического этапа исследования. Определение способа решения проблемы.</w:t>
            </w:r>
          </w:p>
          <w:p>
            <w:pPr>
              <w:jc w:val="both"/>
              <w:spacing w:after="0" w:line="240" w:lineRule="auto"/>
              <w:rPr>
                <w:sz w:val="24"/>
                <w:szCs w:val="24"/>
              </w:rPr>
            </w:pPr>
            <w:r>
              <w:rPr>
                <w:rFonts w:ascii="Times New Roman" w:hAnsi="Times New Roman" w:cs="Times New Roman"/>
                <w:color w:val="#000000"/>
                <w:sz w:val="24"/>
                <w:szCs w:val="24"/>
              </w:rPr>
              <w:t> 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педагогического исследования»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https://urait.ru/bcode/437925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https://urait.ru/bcode/434155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http://www.iprbookshop.ru/75586.html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https://urait.ru/bcode/415446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64.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2023-2024_ФГОС3++2023_Бак-ОФО-ПО2(НОиИЯ)(23)_plx_Методология и методы педагогического исследования</dc:title>
  <dc:creator>FastReport.NET</dc:creator>
</cp:coreProperties>
</file>